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50"/>
        <w:gridCol w:w="9873"/>
      </w:tblGrid>
      <w:tr w:rsidR="00AC6E60" w:rsidRPr="00E23FD6" w14:paraId="7E809405" w14:textId="77777777" w:rsidTr="00D0220E">
        <w:trPr>
          <w:cantSplit/>
        </w:trPr>
        <w:tc>
          <w:tcPr>
            <w:tcW w:w="10790" w:type="dxa"/>
            <w:gridSpan w:val="3"/>
          </w:tcPr>
          <w:p w14:paraId="7E809404" w14:textId="77777777" w:rsidR="00AC6E60" w:rsidRPr="00E23FD6" w:rsidRDefault="00AC6E60" w:rsidP="009024D2">
            <w:pPr>
              <w:pStyle w:val="ChecklistBasis"/>
            </w:pPr>
            <w:r w:rsidRPr="00E23FD6">
              <w:t xml:space="preserve">The purpose of this </w:t>
            </w:r>
            <w:r w:rsidR="00AB3FC2" w:rsidRPr="00E23FD6">
              <w:t>worksheet</w:t>
            </w:r>
            <w:r w:rsidRPr="00E23FD6">
              <w:t xml:space="preserve"> is to provide support for the convened IRB or </w:t>
            </w:r>
            <w:r w:rsidRPr="00E23FD6">
              <w:rPr>
                <w:u w:val="double"/>
              </w:rPr>
              <w:t>Designated Reviewers</w:t>
            </w:r>
            <w:r w:rsidRPr="00E23FD6">
              <w:t xml:space="preserve"> when evaluating payments to </w:t>
            </w:r>
            <w:r w:rsidR="008D4670" w:rsidRPr="00E23FD6">
              <w:t>subject</w:t>
            </w:r>
            <w:r w:rsidRPr="00E23FD6">
              <w:t xml:space="preserve">s or their </w:t>
            </w:r>
            <w:r w:rsidR="00F31C60" w:rsidRPr="00E23FD6">
              <w:t>legally authorized representative</w:t>
            </w:r>
            <w:r w:rsidRPr="00E23FD6">
              <w:rPr>
                <w:u w:val="double"/>
              </w:rPr>
              <w:t>s</w:t>
            </w:r>
            <w:r w:rsidRPr="00E23FD6">
              <w:t xml:space="preserve">. This </w:t>
            </w:r>
            <w:r w:rsidR="00A82D77" w:rsidRPr="00E23FD6">
              <w:t>worksheet</w:t>
            </w:r>
            <w:r w:rsidRPr="00E23FD6">
              <w:t xml:space="preserve"> is to be used. It does not have to be completed or </w:t>
            </w:r>
            <w:r w:rsidR="0080500D" w:rsidRPr="00E23FD6">
              <w:t>retained</w:t>
            </w:r>
            <w:r w:rsidRPr="00E23FD6">
              <w:t>.</w:t>
            </w:r>
          </w:p>
        </w:tc>
      </w:tr>
      <w:tr w:rsidR="00262E55" w:rsidRPr="00E23FD6" w14:paraId="7E809407" w14:textId="77777777" w:rsidTr="00D0220E">
        <w:trPr>
          <w:trHeight w:hRule="exact" w:val="72"/>
        </w:trPr>
        <w:tc>
          <w:tcPr>
            <w:tcW w:w="10790" w:type="dxa"/>
            <w:gridSpan w:val="3"/>
            <w:shd w:val="clear" w:color="auto" w:fill="000000"/>
          </w:tcPr>
          <w:p w14:paraId="7E809406" w14:textId="77777777" w:rsidR="00262E55" w:rsidRPr="00E23FD6" w:rsidRDefault="00262E55" w:rsidP="00744F5E"/>
        </w:tc>
      </w:tr>
      <w:tr w:rsidR="00BE54A6" w:rsidRPr="00E23FD6" w14:paraId="7E809409" w14:textId="77777777" w:rsidTr="00D0220E">
        <w:tc>
          <w:tcPr>
            <w:tcW w:w="10790" w:type="dxa"/>
            <w:gridSpan w:val="3"/>
          </w:tcPr>
          <w:p w14:paraId="7E809408" w14:textId="77777777" w:rsidR="00BE54A6" w:rsidRPr="00E23FD6" w:rsidRDefault="00CD4918" w:rsidP="003B2D94">
            <w:pPr>
              <w:pStyle w:val="ChecklistLevel1"/>
            </w:pPr>
            <w:r w:rsidRPr="00E23FD6">
              <w:t>Requirements for Payments</w:t>
            </w:r>
            <w:r w:rsidR="00A977A5" w:rsidRPr="00E23FD6">
              <w:t xml:space="preserve"> </w:t>
            </w:r>
            <w:r w:rsidR="003B2D94" w:rsidRPr="00D67221">
              <w:rPr>
                <w:b w:val="0"/>
              </w:rPr>
              <w:t>(</w:t>
            </w:r>
            <w:r w:rsidR="003B2D94">
              <w:rPr>
                <w:b w:val="0"/>
              </w:rPr>
              <w:t xml:space="preserve">Check if </w:t>
            </w:r>
            <w:r w:rsidR="003B2D94" w:rsidRPr="00D67221">
              <w:t>“Yes”</w:t>
            </w:r>
            <w:r w:rsidR="003B2D94">
              <w:rPr>
                <w:b w:val="0"/>
              </w:rPr>
              <w:t>. All must be checked)</w:t>
            </w:r>
          </w:p>
        </w:tc>
      </w:tr>
      <w:tr w:rsidR="00744F5E" w:rsidRPr="00E23FD6" w14:paraId="7E80940C" w14:textId="77777777" w:rsidTr="00D0220E">
        <w:tc>
          <w:tcPr>
            <w:tcW w:w="467" w:type="dxa"/>
            <w:vMerge w:val="restart"/>
          </w:tcPr>
          <w:p w14:paraId="7E80940A" w14:textId="77777777" w:rsidR="00744F5E" w:rsidRPr="00E23FD6" w:rsidRDefault="00744F5E" w:rsidP="003B2D94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10323" w:type="dxa"/>
            <w:gridSpan w:val="2"/>
          </w:tcPr>
          <w:p w14:paraId="7E80940B" w14:textId="67404621" w:rsidR="00744F5E" w:rsidRPr="00E23FD6" w:rsidRDefault="00744F5E" w:rsidP="00427B2D">
            <w:pPr>
              <w:pStyle w:val="StatementLevel1"/>
            </w:pPr>
            <w:r w:rsidRPr="00E23FD6">
              <w:t xml:space="preserve">All payments are described in the </w:t>
            </w:r>
            <w:r w:rsidR="00427B2D">
              <w:t>consent document</w:t>
            </w:r>
            <w:r w:rsidR="00427B2D" w:rsidRPr="00E23FD6">
              <w:t xml:space="preserve"> </w:t>
            </w:r>
            <w:r w:rsidRPr="00E23FD6">
              <w:t>including:</w:t>
            </w:r>
            <w:r w:rsidR="003B2D94" w:rsidRPr="00D67221">
              <w:rPr>
                <w:b/>
              </w:rPr>
              <w:t xml:space="preserve"> </w:t>
            </w:r>
            <w:r w:rsidR="003B2D94" w:rsidRPr="003B2D94">
              <w:t xml:space="preserve">(Check if </w:t>
            </w:r>
            <w:r w:rsidR="003B2D94" w:rsidRPr="003B2D94">
              <w:rPr>
                <w:b/>
              </w:rPr>
              <w:t>“Yes”</w:t>
            </w:r>
            <w:r w:rsidR="003B2D94" w:rsidRPr="003B2D94">
              <w:t>. All must be checked)</w:t>
            </w:r>
          </w:p>
        </w:tc>
      </w:tr>
      <w:tr w:rsidR="003B2D94" w:rsidRPr="00E23FD6" w14:paraId="7E809410" w14:textId="77777777" w:rsidTr="00D0220E">
        <w:tc>
          <w:tcPr>
            <w:tcW w:w="467" w:type="dxa"/>
            <w:vMerge/>
          </w:tcPr>
          <w:p w14:paraId="7E80940D" w14:textId="77777777" w:rsidR="003B2D94" w:rsidRPr="00E23FD6" w:rsidRDefault="003B2D94" w:rsidP="00C81949">
            <w:pPr>
              <w:pStyle w:val="Yes-No"/>
            </w:pPr>
          </w:p>
        </w:tc>
        <w:tc>
          <w:tcPr>
            <w:tcW w:w="450" w:type="dxa"/>
            <w:shd w:val="clear" w:color="auto" w:fill="auto"/>
          </w:tcPr>
          <w:p w14:paraId="7E80940E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9873" w:type="dxa"/>
            <w:shd w:val="clear" w:color="auto" w:fill="auto"/>
          </w:tcPr>
          <w:p w14:paraId="7E80940F" w14:textId="77777777" w:rsidR="003B2D94" w:rsidRPr="00E23FD6" w:rsidRDefault="003B2D94" w:rsidP="00262E55">
            <w:pPr>
              <w:pStyle w:val="StatementLevel1"/>
            </w:pPr>
            <w:r w:rsidRPr="00E23FD6">
              <w:t>Amount</w:t>
            </w:r>
          </w:p>
        </w:tc>
      </w:tr>
      <w:tr w:rsidR="003B2D94" w:rsidRPr="00E23FD6" w14:paraId="7E809414" w14:textId="77777777" w:rsidTr="00D0220E">
        <w:tc>
          <w:tcPr>
            <w:tcW w:w="467" w:type="dxa"/>
            <w:vMerge/>
          </w:tcPr>
          <w:p w14:paraId="7E809411" w14:textId="77777777" w:rsidR="003B2D94" w:rsidRPr="00E23FD6" w:rsidRDefault="003B2D94" w:rsidP="00C81949">
            <w:pPr>
              <w:pStyle w:val="Yes-No"/>
            </w:pPr>
          </w:p>
        </w:tc>
        <w:tc>
          <w:tcPr>
            <w:tcW w:w="450" w:type="dxa"/>
            <w:shd w:val="clear" w:color="auto" w:fill="auto"/>
          </w:tcPr>
          <w:p w14:paraId="7E809412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9873" w:type="dxa"/>
            <w:shd w:val="clear" w:color="auto" w:fill="auto"/>
          </w:tcPr>
          <w:p w14:paraId="7E809413" w14:textId="77777777" w:rsidR="003B2D94" w:rsidRPr="00E23FD6" w:rsidRDefault="003B2D94" w:rsidP="00262E55">
            <w:pPr>
              <w:pStyle w:val="StatementLevel1"/>
            </w:pPr>
            <w:r w:rsidRPr="00E23FD6">
              <w:t>Method</w:t>
            </w:r>
          </w:p>
        </w:tc>
      </w:tr>
      <w:tr w:rsidR="003B2D94" w:rsidRPr="00E23FD6" w14:paraId="7E809418" w14:textId="77777777" w:rsidTr="00D0220E">
        <w:tc>
          <w:tcPr>
            <w:tcW w:w="467" w:type="dxa"/>
            <w:vMerge/>
          </w:tcPr>
          <w:p w14:paraId="7E809415" w14:textId="77777777" w:rsidR="003B2D94" w:rsidRPr="00E23FD6" w:rsidRDefault="003B2D94" w:rsidP="00C81949">
            <w:pPr>
              <w:pStyle w:val="Yes-No"/>
            </w:pPr>
          </w:p>
        </w:tc>
        <w:tc>
          <w:tcPr>
            <w:tcW w:w="450" w:type="dxa"/>
            <w:shd w:val="clear" w:color="auto" w:fill="auto"/>
          </w:tcPr>
          <w:p w14:paraId="7E809416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9873" w:type="dxa"/>
            <w:shd w:val="clear" w:color="auto" w:fill="auto"/>
          </w:tcPr>
          <w:p w14:paraId="7E809417" w14:textId="77777777" w:rsidR="003B2D94" w:rsidRPr="00E23FD6" w:rsidRDefault="003B2D94" w:rsidP="00262E55">
            <w:pPr>
              <w:pStyle w:val="StatementLevel1"/>
            </w:pPr>
            <w:r w:rsidRPr="00E23FD6">
              <w:t>Timing of disbursement</w:t>
            </w:r>
          </w:p>
        </w:tc>
      </w:tr>
      <w:tr w:rsidR="003B2D94" w:rsidRPr="00E23FD6" w14:paraId="7E80941E" w14:textId="77777777" w:rsidTr="00D0220E">
        <w:tc>
          <w:tcPr>
            <w:tcW w:w="467" w:type="dxa"/>
          </w:tcPr>
          <w:p w14:paraId="7E80941C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10323" w:type="dxa"/>
            <w:gridSpan w:val="2"/>
          </w:tcPr>
          <w:p w14:paraId="3FC331AE" w14:textId="0735015A" w:rsidR="00217D78" w:rsidRDefault="00217D78" w:rsidP="00262E55">
            <w:pPr>
              <w:pStyle w:val="StatementLevel1"/>
            </w:pPr>
            <w:r>
              <w:t>Payment to study subjects accrues as the study progresses and is not contingent upon the subject completing the entire study. (If not checked, both of the following must be checked)</w:t>
            </w:r>
          </w:p>
          <w:p w14:paraId="7276DBB8" w14:textId="544EE729" w:rsidR="00217D78" w:rsidRDefault="00217D78" w:rsidP="00217D78">
            <w:pPr>
              <w:pStyle w:val="StatementLevel1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  <w:r>
              <w:t xml:space="preserve">  The study </w:t>
            </w:r>
            <w:r w:rsidR="00427B2D">
              <w:t xml:space="preserve">involves </w:t>
            </w:r>
            <w:r>
              <w:t>less</w:t>
            </w:r>
            <w:r w:rsidR="00427B2D">
              <w:t xml:space="preserve"> than four visits</w:t>
            </w:r>
          </w:p>
          <w:p w14:paraId="7E80941D" w14:textId="6EC233DD" w:rsidR="003B2D94" w:rsidRPr="00E23FD6" w:rsidRDefault="00217D78" w:rsidP="00217D78">
            <w:pPr>
              <w:pStyle w:val="StatementLevel1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  <w:r>
              <w:t xml:space="preserve">   Continuation in the study will not result in pain, discomfort, significant inconvenience or include procedures that involve greater than minimal risk.</w:t>
            </w:r>
            <w:r w:rsidR="00427B2D">
              <w:rPr>
                <w:rStyle w:val="FootnoteReference"/>
              </w:rPr>
              <w:footnoteReference w:id="1"/>
            </w:r>
            <w:r w:rsidR="00427B2D">
              <w:t xml:space="preserve"> </w:t>
            </w:r>
          </w:p>
        </w:tc>
      </w:tr>
      <w:tr w:rsidR="003B2D94" w:rsidRPr="00E23FD6" w14:paraId="7E809421" w14:textId="77777777" w:rsidTr="00D0220E">
        <w:tc>
          <w:tcPr>
            <w:tcW w:w="467" w:type="dxa"/>
          </w:tcPr>
          <w:p w14:paraId="7E80941F" w14:textId="3E55A4FF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10323" w:type="dxa"/>
            <w:gridSpan w:val="2"/>
          </w:tcPr>
          <w:p w14:paraId="7E809420" w14:textId="66C51D4F" w:rsidR="003B2D94" w:rsidRPr="00E23FD6" w:rsidRDefault="003B2D94" w:rsidP="00217D78">
            <w:pPr>
              <w:pStyle w:val="StatementLevel1"/>
            </w:pPr>
            <w:r w:rsidRPr="00E23FD6">
              <w:t xml:space="preserve">The amount of payment and the proposed method and timing of disbursement is neither coercive nor </w:t>
            </w:r>
            <w:r w:rsidR="00217D78">
              <w:t xml:space="preserve">unduly </w:t>
            </w:r>
            <w:r w:rsidR="000C0E6E">
              <w:t>influential</w:t>
            </w:r>
            <w:bookmarkStart w:id="0" w:name="_GoBack"/>
            <w:bookmarkEnd w:id="0"/>
            <w:r w:rsidR="00F50EB5">
              <w:rPr>
                <w:rStyle w:val="FootnoteReference"/>
              </w:rPr>
              <w:footnoteReference w:id="2"/>
            </w:r>
            <w:r w:rsidR="00217D78">
              <w:t>l</w:t>
            </w:r>
          </w:p>
        </w:tc>
      </w:tr>
      <w:tr w:rsidR="003B2D94" w:rsidRPr="00E23FD6" w14:paraId="7E809424" w14:textId="77777777" w:rsidTr="00D0220E">
        <w:tc>
          <w:tcPr>
            <w:tcW w:w="467" w:type="dxa"/>
          </w:tcPr>
          <w:p w14:paraId="7E809422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10323" w:type="dxa"/>
            <w:gridSpan w:val="2"/>
          </w:tcPr>
          <w:p w14:paraId="7E809423" w14:textId="77777777" w:rsidR="003B2D94" w:rsidRPr="00E23FD6" w:rsidRDefault="003B2D94" w:rsidP="00262E55">
            <w:pPr>
              <w:pStyle w:val="StatementLevel1"/>
            </w:pPr>
            <w:r w:rsidRPr="00E23FD6">
              <w:t>Any amount paid as a bonus for completion is reasonable and not so large as to unduly induce subjects to stay in the study when they would otherwise have withdrawn.</w:t>
            </w:r>
          </w:p>
        </w:tc>
      </w:tr>
      <w:tr w:rsidR="003B2D94" w:rsidRPr="00E23FD6" w14:paraId="7E80942A" w14:textId="77777777" w:rsidTr="00D0220E">
        <w:tc>
          <w:tcPr>
            <w:tcW w:w="467" w:type="dxa"/>
          </w:tcPr>
          <w:p w14:paraId="7E809428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242235">
              <w:fldChar w:fldCharType="separate"/>
            </w:r>
            <w:r w:rsidRPr="00E23FD6">
              <w:fldChar w:fldCharType="end"/>
            </w:r>
          </w:p>
        </w:tc>
        <w:tc>
          <w:tcPr>
            <w:tcW w:w="10323" w:type="dxa"/>
            <w:gridSpan w:val="2"/>
          </w:tcPr>
          <w:p w14:paraId="7E809429" w14:textId="77777777" w:rsidR="003B2D94" w:rsidRPr="00E23FD6" w:rsidRDefault="003B2D94" w:rsidP="00262E55">
            <w:pPr>
              <w:pStyle w:val="StatementLevel1"/>
            </w:pPr>
            <w:r w:rsidRPr="00E23FD6">
              <w:t>Compensation does not include a coupon good for a discount on the purchase price of the product once it has been approved.</w:t>
            </w:r>
          </w:p>
        </w:tc>
      </w:tr>
    </w:tbl>
    <w:p w14:paraId="7E80942B" w14:textId="4B80E766" w:rsidR="00262E55" w:rsidRPr="000C0E6E" w:rsidRDefault="00D0220E" w:rsidP="00D0220E">
      <w:pPr>
        <w:rPr>
          <w:rFonts w:ascii="Arial Narrow" w:hAnsi="Arial Narrow"/>
          <w:sz w:val="20"/>
        </w:rPr>
      </w:pPr>
      <w:r w:rsidRPr="000C0E6E">
        <w:rPr>
          <w:rFonts w:ascii="Arial Narrow" w:hAnsi="Arial Narrow"/>
          <w:sz w:val="20"/>
        </w:rPr>
        <w:t xml:space="preserve"> </w:t>
      </w:r>
      <w:r w:rsidRPr="000C0E6E">
        <w:rPr>
          <w:rFonts w:ascii="Arial Narrow" w:hAnsi="Arial Narrow"/>
          <w:sz w:val="20"/>
        </w:rPr>
        <w:t></w:t>
      </w:r>
    </w:p>
    <w:sectPr w:rsidR="00262E55" w:rsidRPr="000C0E6E" w:rsidSect="00C0319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348D0" w14:textId="77777777" w:rsidR="00242235" w:rsidRDefault="00242235">
      <w:r>
        <w:separator/>
      </w:r>
    </w:p>
  </w:endnote>
  <w:endnote w:type="continuationSeparator" w:id="0">
    <w:p w14:paraId="7EF98556" w14:textId="77777777" w:rsidR="00242235" w:rsidRDefault="002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09443" w14:textId="77777777" w:rsidR="00CB02A3" w:rsidRPr="00CB02A3" w:rsidRDefault="00CB02A3" w:rsidP="0050126C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FBE27" w14:textId="77777777" w:rsidR="00242235" w:rsidRDefault="00242235">
      <w:r>
        <w:separator/>
      </w:r>
    </w:p>
  </w:footnote>
  <w:footnote w:type="continuationSeparator" w:id="0">
    <w:p w14:paraId="0E89A7D9" w14:textId="77777777" w:rsidR="00242235" w:rsidRDefault="00242235">
      <w:r>
        <w:continuationSeparator/>
      </w:r>
    </w:p>
  </w:footnote>
  <w:footnote w:id="1">
    <w:p w14:paraId="620E45E4" w14:textId="4D90C09A" w:rsidR="00427B2D" w:rsidRDefault="00427B2D">
      <w:pPr>
        <w:pStyle w:val="FootnoteText"/>
      </w:pPr>
      <w:r w:rsidRPr="00F50EB5">
        <w:rPr>
          <w:rFonts w:ascii="Arial Narrow" w:hAnsi="Arial Narrow"/>
          <w:szCs w:val="24"/>
        </w:rPr>
        <w:footnoteRef/>
      </w:r>
      <w:r w:rsidRPr="00F50EB5">
        <w:rPr>
          <w:rFonts w:ascii="Arial Narrow" w:hAnsi="Arial Narrow"/>
          <w:szCs w:val="24"/>
        </w:rPr>
        <w:t xml:space="preserve"> </w:t>
      </w:r>
      <w:hyperlink r:id="rId1" w:history="1">
        <w:r w:rsidRPr="00F50EB5">
          <w:rPr>
            <w:rStyle w:val="Hyperlink"/>
            <w:rFonts w:ascii="Arial Narrow" w:hAnsi="Arial Narrow"/>
            <w:szCs w:val="24"/>
          </w:rPr>
          <w:t>OHRP Guidance</w:t>
        </w:r>
      </w:hyperlink>
      <w:r w:rsidRPr="00F50EB5">
        <w:rPr>
          <w:rFonts w:ascii="Arial Narrow" w:hAnsi="Arial Narrow"/>
          <w:szCs w:val="24"/>
        </w:rPr>
        <w:t xml:space="preserve"> recommends that payment should be prorated for the time of participation rather than delayed until study completion when the study is of considerable duration or involves multiple interactions or interventions. </w:t>
      </w:r>
      <w:hyperlink r:id="rId2" w:history="1">
        <w:r w:rsidR="00217D78" w:rsidRPr="00130B3D">
          <w:rPr>
            <w:rStyle w:val="Hyperlink"/>
            <w:rFonts w:ascii="Arial Narrow" w:hAnsi="Arial Narrow"/>
            <w:szCs w:val="24"/>
          </w:rPr>
          <w:t>FDA G</w:t>
        </w:r>
        <w:r w:rsidRPr="00F50EB5">
          <w:rPr>
            <w:rStyle w:val="Hyperlink"/>
            <w:rFonts w:ascii="Arial Narrow" w:hAnsi="Arial Narrow"/>
            <w:szCs w:val="24"/>
          </w:rPr>
          <w:t>uidance</w:t>
        </w:r>
      </w:hyperlink>
      <w:r w:rsidRPr="00F50EB5">
        <w:rPr>
          <w:rFonts w:ascii="Arial Narrow" w:hAnsi="Arial Narrow"/>
          <w:szCs w:val="24"/>
        </w:rPr>
        <w:t xml:space="preserve"> states the amount and timing of payment shouldn’t unduly influence subjects into remaining </w:t>
      </w:r>
      <w:r w:rsidR="00217D78" w:rsidRPr="00F50EB5">
        <w:rPr>
          <w:rFonts w:ascii="Arial Narrow" w:hAnsi="Arial Narrow"/>
          <w:szCs w:val="24"/>
        </w:rPr>
        <w:t xml:space="preserve">in the study when they would otherwise have withdrawn.  </w:t>
      </w:r>
      <w:r w:rsidRPr="00F50EB5">
        <w:rPr>
          <w:rFonts w:ascii="Arial Narrow" w:hAnsi="Arial Narrow"/>
          <w:szCs w:val="24"/>
        </w:rPr>
        <w:t xml:space="preserve"> </w:t>
      </w:r>
    </w:p>
  </w:footnote>
  <w:footnote w:id="2">
    <w:p w14:paraId="21A5894D" w14:textId="59619149" w:rsidR="00D0220E" w:rsidRPr="005A63EA" w:rsidRDefault="00F50EB5" w:rsidP="00D0220E">
      <w:pPr>
        <w:pStyle w:val="Default"/>
        <w:spacing w:after="38"/>
        <w:rPr>
          <w:rFonts w:ascii="Arial Narrow" w:hAnsi="Arial Narrow" w:cs="Times New Roman"/>
          <w:color w:val="auto"/>
          <w:sz w:val="20"/>
        </w:rPr>
      </w:pPr>
      <w:r w:rsidRPr="00F50EB5">
        <w:rPr>
          <w:rFonts w:ascii="Arial Narrow" w:hAnsi="Arial Narrow" w:cs="Times New Roman"/>
          <w:color w:val="auto"/>
          <w:sz w:val="20"/>
        </w:rPr>
        <w:footnoteRef/>
      </w:r>
      <w:r w:rsidRPr="00F50EB5">
        <w:rPr>
          <w:rFonts w:ascii="Arial Narrow" w:hAnsi="Arial Narrow" w:cs="Times New Roman"/>
          <w:color w:val="auto"/>
          <w:sz w:val="20"/>
        </w:rPr>
        <w:t xml:space="preserve"> Coercion is rare.  Examples include</w:t>
      </w:r>
      <w:r w:rsidR="000160F7">
        <w:rPr>
          <w:rFonts w:ascii="Arial Narrow" w:hAnsi="Arial Narrow" w:cs="Times New Roman"/>
          <w:color w:val="auto"/>
          <w:sz w:val="20"/>
        </w:rPr>
        <w:t xml:space="preserve"> an i</w:t>
      </w:r>
      <w:r w:rsidR="000160F7" w:rsidRPr="00F50EB5">
        <w:rPr>
          <w:rFonts w:ascii="Arial Narrow" w:hAnsi="Arial Narrow" w:cs="Times New Roman"/>
          <w:color w:val="auto"/>
          <w:sz w:val="20"/>
        </w:rPr>
        <w:t>nmate</w:t>
      </w:r>
      <w:r w:rsidRPr="00F50EB5">
        <w:rPr>
          <w:rFonts w:ascii="Arial Narrow" w:hAnsi="Arial Narrow" w:cs="Times New Roman"/>
          <w:color w:val="auto"/>
          <w:sz w:val="20"/>
        </w:rPr>
        <w:t xml:space="preserve"> whose care and treatment might be compromised for refusing participation</w:t>
      </w:r>
      <w:r>
        <w:rPr>
          <w:rFonts w:ascii="Arial Narrow" w:hAnsi="Arial Narrow" w:cs="Times New Roman"/>
          <w:color w:val="auto"/>
          <w:sz w:val="20"/>
        </w:rPr>
        <w:t xml:space="preserve"> or a </w:t>
      </w:r>
      <w:r w:rsidRPr="00F50EB5">
        <w:rPr>
          <w:rFonts w:ascii="Arial Narrow" w:hAnsi="Arial Narrow" w:cs="Times New Roman"/>
          <w:color w:val="auto"/>
          <w:sz w:val="20"/>
        </w:rPr>
        <w:t xml:space="preserve">Patient may participate in a study run by his or her physician because of the fear or reality that care is contingent on participation. </w:t>
      </w:r>
      <w:r w:rsidR="00D0220E">
        <w:rPr>
          <w:rFonts w:ascii="Arial Narrow" w:hAnsi="Arial Narrow" w:cs="Times New Roman"/>
          <w:color w:val="auto"/>
          <w:sz w:val="20"/>
        </w:rPr>
        <w:t>Examples of undue influence include a</w:t>
      </w:r>
      <w:r w:rsidR="00D0220E" w:rsidRPr="005A63EA">
        <w:rPr>
          <w:rFonts w:ascii="Arial Narrow" w:hAnsi="Arial Narrow" w:cs="Times New Roman"/>
          <w:color w:val="auto"/>
          <w:sz w:val="20"/>
        </w:rPr>
        <w:t>n offer one cannot refuse</w:t>
      </w:r>
      <w:r w:rsidR="00D0220E">
        <w:rPr>
          <w:rFonts w:ascii="Arial Narrow" w:hAnsi="Arial Narrow" w:cs="Times New Roman"/>
          <w:color w:val="auto"/>
          <w:sz w:val="20"/>
        </w:rPr>
        <w:t>, a</w:t>
      </w:r>
      <w:r w:rsidR="00D0220E" w:rsidRPr="005A63EA">
        <w:rPr>
          <w:rFonts w:ascii="Arial Narrow" w:hAnsi="Arial Narrow" w:cs="Times New Roman"/>
          <w:color w:val="auto"/>
          <w:sz w:val="20"/>
        </w:rPr>
        <w:t xml:space="preserve"> controlling and irresistible influence</w:t>
      </w:r>
      <w:r w:rsidR="00D0220E">
        <w:rPr>
          <w:rFonts w:ascii="Arial Narrow" w:hAnsi="Arial Narrow" w:cs="Times New Roman"/>
          <w:color w:val="auto"/>
          <w:sz w:val="20"/>
        </w:rPr>
        <w:t xml:space="preserve">, and influence strong enough to compel someone to participate against their interests. </w:t>
      </w:r>
      <w:r w:rsidR="000160F7">
        <w:rPr>
          <w:rFonts w:ascii="Arial Narrow" w:hAnsi="Arial Narrow" w:cs="Times New Roman"/>
          <w:color w:val="auto"/>
          <w:sz w:val="20"/>
        </w:rPr>
        <w:t xml:space="preserve">(NIH presentation, </w:t>
      </w:r>
      <w:hyperlink r:id="rId3" w:history="1">
        <w:r w:rsidR="000160F7" w:rsidRPr="000160F7">
          <w:rPr>
            <w:rStyle w:val="Hyperlink"/>
            <w:rFonts w:ascii="Arial Narrow" w:hAnsi="Arial Narrow" w:cs="Times New Roman"/>
            <w:sz w:val="20"/>
          </w:rPr>
          <w:t>Ethical and practical considerations of payment research participants</w:t>
        </w:r>
      </w:hyperlink>
      <w:r w:rsidR="000160F7">
        <w:rPr>
          <w:rFonts w:ascii="Arial Narrow" w:hAnsi="Arial Narrow" w:cs="Times New Roman"/>
          <w:color w:val="auto"/>
          <w:sz w:val="20"/>
        </w:rPr>
        <w:t xml:space="preserve">). </w:t>
      </w:r>
      <w:r w:rsidR="00D0220E" w:rsidRPr="005A63EA">
        <w:rPr>
          <w:rFonts w:ascii="Arial Narrow" w:hAnsi="Arial Narrow" w:cs="Times New Roman"/>
          <w:color w:val="auto"/>
          <w:sz w:val="20"/>
        </w:rPr>
        <w:t xml:space="preserve"> </w:t>
      </w:r>
    </w:p>
    <w:p w14:paraId="2EC47836" w14:textId="533AF3E3" w:rsidR="00F50EB5" w:rsidRPr="00F50EB5" w:rsidRDefault="00F50EB5" w:rsidP="00F50EB5">
      <w:pPr>
        <w:pStyle w:val="Default"/>
        <w:rPr>
          <w:rFonts w:ascii="Arial Narrow" w:hAnsi="Arial Narrow" w:cs="Times New Roman"/>
          <w:color w:val="auto"/>
          <w:sz w:val="20"/>
        </w:rPr>
      </w:pPr>
    </w:p>
    <w:p w14:paraId="19B2A075" w14:textId="214E91C9" w:rsidR="00F50EB5" w:rsidRDefault="00F50EB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4"/>
      <w:gridCol w:w="2798"/>
      <w:gridCol w:w="2783"/>
    </w:tblGrid>
    <w:tr w:rsidR="00CB1478" w:rsidRPr="006520A8" w14:paraId="7E809433" w14:textId="77777777" w:rsidTr="00CB1478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7E809431" w14:textId="3BA7FDEA" w:rsidR="00CB1478" w:rsidRPr="006520A8" w:rsidRDefault="00DE4FFD" w:rsidP="00EF7F1D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809446" wp14:editId="0CC9FAD2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E809432" w14:textId="77777777" w:rsidR="00CB1478" w:rsidRPr="006520A8" w:rsidRDefault="00CB1478" w:rsidP="00EF7F1D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CB1478" w:rsidRPr="006520A8" w14:paraId="7E809436" w14:textId="77777777" w:rsidTr="00CB1478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7E809434" w14:textId="77777777" w:rsidR="00CB1478" w:rsidRDefault="00CB1478" w:rsidP="00EF7F1D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5" w14:textId="77777777" w:rsidR="00CB1478" w:rsidRPr="00EA6348" w:rsidRDefault="00CB1478" w:rsidP="00EF7F1D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Payments</w:t>
          </w:r>
        </w:p>
      </w:tc>
    </w:tr>
    <w:tr w:rsidR="00CB1478" w:rsidRPr="006520A8" w14:paraId="7E80943B" w14:textId="77777777" w:rsidTr="00CB1478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7E809437" w14:textId="77777777" w:rsidR="00CB1478" w:rsidRDefault="00CB1478" w:rsidP="00EF7F1D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8" w14:textId="77777777" w:rsidR="00CB1478" w:rsidRPr="00985449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9" w14:textId="77777777" w:rsidR="00CB1478" w:rsidRPr="006520A8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A" w14:textId="77777777" w:rsidR="00CB1478" w:rsidRPr="006520A8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CB1478" w:rsidRPr="006520A8" w14:paraId="7E809440" w14:textId="77777777" w:rsidTr="00CB1478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7E80943C" w14:textId="77777777" w:rsidR="00CB1478" w:rsidRDefault="00CB1478" w:rsidP="00EF7F1D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D" w14:textId="77777777" w:rsidR="00CB1478" w:rsidRPr="00C97966" w:rsidRDefault="00CB1478" w:rsidP="00A53DDC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A53DDC">
            <w:rPr>
              <w:rFonts w:ascii="Arial" w:hAnsi="Arial" w:cs="Arial"/>
            </w:rPr>
            <w:t>6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E" w14:textId="75C08AF7" w:rsidR="00CB1478" w:rsidRPr="006520A8" w:rsidRDefault="000C0E6E" w:rsidP="00EF7F1D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11/05/2018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943F" w14:textId="77777777" w:rsidR="00CB1478" w:rsidRPr="006520A8" w:rsidRDefault="00CB1478" w:rsidP="00EF7F1D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0C0E6E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0C0E6E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7E809441" w14:textId="77777777" w:rsidR="003E6066" w:rsidRPr="00321577" w:rsidRDefault="003E606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0885F1"/>
    <w:multiLevelType w:val="hybridMultilevel"/>
    <w:tmpl w:val="3F153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31F7ADC"/>
    <w:multiLevelType w:val="hybridMultilevel"/>
    <w:tmpl w:val="A986AC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4AA5C761"/>
    <w:multiLevelType w:val="hybridMultilevel"/>
    <w:tmpl w:val="CDC84B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1"/>
  </w:num>
  <w:num w:numId="15">
    <w:abstractNumId w:val="26"/>
  </w:num>
  <w:num w:numId="16">
    <w:abstractNumId w:val="31"/>
  </w:num>
  <w:num w:numId="17">
    <w:abstractNumId w:val="14"/>
  </w:num>
  <w:num w:numId="18">
    <w:abstractNumId w:val="30"/>
  </w:num>
  <w:num w:numId="19">
    <w:abstractNumId w:val="28"/>
  </w:num>
  <w:num w:numId="20">
    <w:abstractNumId w:val="27"/>
  </w:num>
  <w:num w:numId="21">
    <w:abstractNumId w:val="33"/>
  </w:num>
  <w:num w:numId="22">
    <w:abstractNumId w:val="16"/>
  </w:num>
  <w:num w:numId="23">
    <w:abstractNumId w:val="12"/>
  </w:num>
  <w:num w:numId="24">
    <w:abstractNumId w:val="35"/>
  </w:num>
  <w:num w:numId="25">
    <w:abstractNumId w:val="15"/>
  </w:num>
  <w:num w:numId="26">
    <w:abstractNumId w:val="21"/>
  </w:num>
  <w:num w:numId="27">
    <w:abstractNumId w:val="34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8"/>
  </w:num>
  <w:num w:numId="34">
    <w:abstractNumId w:val="21"/>
  </w:num>
  <w:num w:numId="35">
    <w:abstractNumId w:val="19"/>
  </w:num>
  <w:num w:numId="36">
    <w:abstractNumId w:val="29"/>
  </w:num>
  <w:num w:numId="37">
    <w:abstractNumId w:val="32"/>
  </w:num>
  <w:num w:numId="38">
    <w:abstractNumId w:val="17"/>
  </w:num>
  <w:num w:numId="39">
    <w:abstractNumId w:val="23"/>
  </w:num>
  <w:num w:numId="40">
    <w:abstractNumId w:val="20"/>
  </w:num>
  <w:num w:numId="41">
    <w:abstractNumId w:val="24"/>
  </w:num>
  <w:num w:numId="42">
    <w:abstractNumId w:val="13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160F7"/>
    <w:rsid w:val="0005433C"/>
    <w:rsid w:val="00071367"/>
    <w:rsid w:val="00076A61"/>
    <w:rsid w:val="00084456"/>
    <w:rsid w:val="000954C3"/>
    <w:rsid w:val="000C0E6E"/>
    <w:rsid w:val="000E1BF4"/>
    <w:rsid w:val="000F6A7C"/>
    <w:rsid w:val="00116652"/>
    <w:rsid w:val="00126A31"/>
    <w:rsid w:val="00130B3D"/>
    <w:rsid w:val="00194A43"/>
    <w:rsid w:val="001B56EF"/>
    <w:rsid w:val="001C0CAD"/>
    <w:rsid w:val="001E2E87"/>
    <w:rsid w:val="001F4297"/>
    <w:rsid w:val="002070A9"/>
    <w:rsid w:val="00217D78"/>
    <w:rsid w:val="002266CE"/>
    <w:rsid w:val="00242235"/>
    <w:rsid w:val="00261FD9"/>
    <w:rsid w:val="00262E55"/>
    <w:rsid w:val="0027355B"/>
    <w:rsid w:val="002A0CB8"/>
    <w:rsid w:val="002A6126"/>
    <w:rsid w:val="0030441F"/>
    <w:rsid w:val="00305112"/>
    <w:rsid w:val="00314675"/>
    <w:rsid w:val="00321577"/>
    <w:rsid w:val="003279F1"/>
    <w:rsid w:val="00350C02"/>
    <w:rsid w:val="003763FD"/>
    <w:rsid w:val="00380737"/>
    <w:rsid w:val="0039072B"/>
    <w:rsid w:val="0039759C"/>
    <w:rsid w:val="003B2D94"/>
    <w:rsid w:val="003E1AF6"/>
    <w:rsid w:val="003E6066"/>
    <w:rsid w:val="004113B3"/>
    <w:rsid w:val="00427B2D"/>
    <w:rsid w:val="00436538"/>
    <w:rsid w:val="0043696B"/>
    <w:rsid w:val="00437FF0"/>
    <w:rsid w:val="00443799"/>
    <w:rsid w:val="0046138D"/>
    <w:rsid w:val="00496E49"/>
    <w:rsid w:val="004B2D05"/>
    <w:rsid w:val="004D2EA4"/>
    <w:rsid w:val="004D4477"/>
    <w:rsid w:val="004F550E"/>
    <w:rsid w:val="0050126C"/>
    <w:rsid w:val="00507BCC"/>
    <w:rsid w:val="005313FE"/>
    <w:rsid w:val="005540BA"/>
    <w:rsid w:val="005734BD"/>
    <w:rsid w:val="005B4B2C"/>
    <w:rsid w:val="005C1210"/>
    <w:rsid w:val="00610071"/>
    <w:rsid w:val="00643D84"/>
    <w:rsid w:val="00660C0B"/>
    <w:rsid w:val="00662B81"/>
    <w:rsid w:val="00675D03"/>
    <w:rsid w:val="00685AA5"/>
    <w:rsid w:val="0069117E"/>
    <w:rsid w:val="006A7F27"/>
    <w:rsid w:val="006B3CAC"/>
    <w:rsid w:val="006C4558"/>
    <w:rsid w:val="006E5F6E"/>
    <w:rsid w:val="007067DE"/>
    <w:rsid w:val="00714E0C"/>
    <w:rsid w:val="0073085D"/>
    <w:rsid w:val="00744F5E"/>
    <w:rsid w:val="00745F5A"/>
    <w:rsid w:val="00746AEB"/>
    <w:rsid w:val="00755189"/>
    <w:rsid w:val="00765CA8"/>
    <w:rsid w:val="00777362"/>
    <w:rsid w:val="007826B9"/>
    <w:rsid w:val="00784FB9"/>
    <w:rsid w:val="00786465"/>
    <w:rsid w:val="007A3B37"/>
    <w:rsid w:val="007A7B03"/>
    <w:rsid w:val="007C0332"/>
    <w:rsid w:val="007E47DA"/>
    <w:rsid w:val="0080500D"/>
    <w:rsid w:val="008231AB"/>
    <w:rsid w:val="00837738"/>
    <w:rsid w:val="00873274"/>
    <w:rsid w:val="008920E6"/>
    <w:rsid w:val="00894E98"/>
    <w:rsid w:val="008D4670"/>
    <w:rsid w:val="008F5702"/>
    <w:rsid w:val="009024D2"/>
    <w:rsid w:val="009214F4"/>
    <w:rsid w:val="00926B69"/>
    <w:rsid w:val="00944550"/>
    <w:rsid w:val="0097451F"/>
    <w:rsid w:val="009A57EE"/>
    <w:rsid w:val="009B4B76"/>
    <w:rsid w:val="009D26C4"/>
    <w:rsid w:val="009E772C"/>
    <w:rsid w:val="00A05445"/>
    <w:rsid w:val="00A203E7"/>
    <w:rsid w:val="00A36932"/>
    <w:rsid w:val="00A37755"/>
    <w:rsid w:val="00A40400"/>
    <w:rsid w:val="00A5021A"/>
    <w:rsid w:val="00A53DDC"/>
    <w:rsid w:val="00A76FD8"/>
    <w:rsid w:val="00A82D77"/>
    <w:rsid w:val="00A874C8"/>
    <w:rsid w:val="00A90B05"/>
    <w:rsid w:val="00A977A5"/>
    <w:rsid w:val="00AA020D"/>
    <w:rsid w:val="00AB3FC2"/>
    <w:rsid w:val="00AB5B22"/>
    <w:rsid w:val="00AC6E60"/>
    <w:rsid w:val="00AD4F01"/>
    <w:rsid w:val="00AD5394"/>
    <w:rsid w:val="00AE1DBD"/>
    <w:rsid w:val="00AE2818"/>
    <w:rsid w:val="00AF2EB5"/>
    <w:rsid w:val="00B014FE"/>
    <w:rsid w:val="00B0703F"/>
    <w:rsid w:val="00B10496"/>
    <w:rsid w:val="00B33CD1"/>
    <w:rsid w:val="00B4278A"/>
    <w:rsid w:val="00B86C18"/>
    <w:rsid w:val="00BA00A1"/>
    <w:rsid w:val="00BE0B19"/>
    <w:rsid w:val="00BE54A6"/>
    <w:rsid w:val="00BF24DE"/>
    <w:rsid w:val="00C0319E"/>
    <w:rsid w:val="00C75CD5"/>
    <w:rsid w:val="00C81949"/>
    <w:rsid w:val="00C823A0"/>
    <w:rsid w:val="00C93AEA"/>
    <w:rsid w:val="00C95BC7"/>
    <w:rsid w:val="00CB02A3"/>
    <w:rsid w:val="00CB1478"/>
    <w:rsid w:val="00CD1433"/>
    <w:rsid w:val="00CD4918"/>
    <w:rsid w:val="00CE0394"/>
    <w:rsid w:val="00D0220E"/>
    <w:rsid w:val="00D054B6"/>
    <w:rsid w:val="00D10A06"/>
    <w:rsid w:val="00D15714"/>
    <w:rsid w:val="00D26A20"/>
    <w:rsid w:val="00D357C2"/>
    <w:rsid w:val="00D42A1C"/>
    <w:rsid w:val="00D576FF"/>
    <w:rsid w:val="00D63994"/>
    <w:rsid w:val="00D841F6"/>
    <w:rsid w:val="00DA1AFB"/>
    <w:rsid w:val="00DC2F67"/>
    <w:rsid w:val="00DC4F19"/>
    <w:rsid w:val="00DD6D41"/>
    <w:rsid w:val="00DE4FFD"/>
    <w:rsid w:val="00DE7DC9"/>
    <w:rsid w:val="00E01CF5"/>
    <w:rsid w:val="00E042C0"/>
    <w:rsid w:val="00E05652"/>
    <w:rsid w:val="00E23FD6"/>
    <w:rsid w:val="00E77BA3"/>
    <w:rsid w:val="00EB5DD4"/>
    <w:rsid w:val="00EC4AEB"/>
    <w:rsid w:val="00ED47AB"/>
    <w:rsid w:val="00EF1B36"/>
    <w:rsid w:val="00EF7F1D"/>
    <w:rsid w:val="00F116D9"/>
    <w:rsid w:val="00F133CB"/>
    <w:rsid w:val="00F20189"/>
    <w:rsid w:val="00F31C60"/>
    <w:rsid w:val="00F50EB5"/>
    <w:rsid w:val="00F55D5C"/>
    <w:rsid w:val="00F564F4"/>
    <w:rsid w:val="00F76D83"/>
    <w:rsid w:val="00F773C1"/>
    <w:rsid w:val="00F90C29"/>
    <w:rsid w:val="00F962C9"/>
    <w:rsid w:val="00FD7409"/>
    <w:rsid w:val="00FE0F6D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809404"/>
  <w15:docId w15:val="{37C5D303-47C3-4F7A-92D4-4F48575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262E55"/>
  </w:style>
  <w:style w:type="paragraph" w:customStyle="1" w:styleId="StatementLevel2">
    <w:name w:val="Statement Level 2"/>
    <w:basedOn w:val="StatementLevel1"/>
    <w:rsid w:val="00262E55"/>
    <w:pPr>
      <w:ind w:left="252"/>
    </w:pPr>
  </w:style>
  <w:style w:type="character" w:customStyle="1" w:styleId="StatementLevel1Char">
    <w:name w:val="Statement Level 1 Char"/>
    <w:link w:val="StatementLevel1"/>
    <w:rsid w:val="00262E5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44F5E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744F5E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CB02A3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rsid w:val="00D4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A1C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1F429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F429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F429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F4297"/>
    <w:rPr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427B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7B2D"/>
  </w:style>
  <w:style w:type="character" w:styleId="FootnoteReference">
    <w:name w:val="footnote reference"/>
    <w:basedOn w:val="DefaultParagraphFont"/>
    <w:semiHidden/>
    <w:unhideWhenUsed/>
    <w:rsid w:val="00427B2D"/>
    <w:rPr>
      <w:vertAlign w:val="superscript"/>
    </w:rPr>
  </w:style>
  <w:style w:type="paragraph" w:customStyle="1" w:styleId="Default">
    <w:name w:val="Default"/>
    <w:rsid w:val="00F50E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url?sa=t&amp;rct=j&amp;q=&amp;esrc=s&amp;source=web&amp;cd=5&amp;ved=2ahUKEwjW9b-x767eAhUDCXwKHR2LAn8QFjAEegQICBAC&amp;url=https%3A%2F%2Fwww.niehs.nih.gov%2Fresearch%2Fresources%2Fassets%2Fdocs%2Fethical_and_practical_considerations_of_paying_research_participants_508.pdf&amp;usg=AOvVaw010Tqum9s7y1GWOa7oteks" TargetMode="External"/><Relationship Id="rId2" Type="http://schemas.openxmlformats.org/officeDocument/2006/relationships/hyperlink" Target="https://www.fda.gov/RegulatoryInformation/Guidances/ucm126429.htm" TargetMode="External"/><Relationship Id="rId1" Type="http://schemas.openxmlformats.org/officeDocument/2006/relationships/hyperlink" Target="https://www.hhs.gov/ohrp/regulations-and-policy/guidance/faq/informed-consent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0" ma:contentTypeDescription="Create a new document." ma:contentTypeScope="" ma:versionID="26ba5e892a9b84b043a27f8f197e6c69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8427925b7c62d1601a7eab42c75eb07a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D983-CDB4-49F0-B443-A02FD7329D9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039E9C-405D-41E0-B749-E45E5D0E8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6C49F-8AF9-4A4C-8BB9-8AD77F1176F4}"/>
</file>

<file path=customXml/itemProps4.xml><?xml version="1.0" encoding="utf-8"?>
<ds:datastoreItem xmlns:ds="http://schemas.openxmlformats.org/officeDocument/2006/customXml" ds:itemID="{E1B6A295-69B4-46FE-96C3-09DCA2E7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Payments</vt:lpstr>
    </vt:vector>
  </TitlesOfParts>
  <Manager>Stuart Horowitz, PhD, MBA, CHRC</Manager>
  <Company>Huron Consulting Group, Inc.</Company>
  <LinksUpToDate>false</LinksUpToDate>
  <CharactersWithSpaces>1448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Payments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Nicole T. Walters</cp:lastModifiedBy>
  <cp:revision>2</cp:revision>
  <cp:lastPrinted>2014-08-27T07:24:00Z</cp:lastPrinted>
  <dcterms:created xsi:type="dcterms:W3CDTF">2018-11-05T22:46:00Z</dcterms:created>
  <dcterms:modified xsi:type="dcterms:W3CDTF">2018-11-05T22:46:00Z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